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2D1BD" w14:textId="77777777" w:rsidR="002E458B" w:rsidRPr="00F92EBC" w:rsidRDefault="002E458B" w:rsidP="002E458B">
      <w:pPr>
        <w:spacing w:before="1080" w:after="0" w:line="360" w:lineRule="auto"/>
        <w:rPr>
          <w:rFonts w:ascii="Cambria" w:hAnsi="Cambria"/>
          <w:color w:val="262B33"/>
          <w:shd w:val="clear" w:color="auto" w:fill="FFFFFF"/>
        </w:rPr>
      </w:pPr>
      <w:r w:rsidRPr="00F92EBC">
        <w:rPr>
          <w:rFonts w:ascii="Cambria" w:hAnsi="Cambria"/>
          <w:color w:val="262B33"/>
          <w:shd w:val="clear" w:color="auto" w:fill="FFFFFF"/>
        </w:rPr>
        <w:t xml:space="preserve">TISKOVÁ ZPRÁVA ze dne </w:t>
      </w:r>
      <w:r>
        <w:rPr>
          <w:rFonts w:ascii="Cambria" w:eastAsia="Times New Roman" w:hAnsi="Cambria" w:cs="Times New Roman"/>
          <w:color w:val="000000"/>
          <w:lang w:eastAsia="cs-CZ"/>
        </w:rPr>
        <w:t>25. 5</w:t>
      </w:r>
      <w:r w:rsidRPr="00F92EBC">
        <w:rPr>
          <w:rFonts w:ascii="Cambria" w:eastAsia="Times New Roman" w:hAnsi="Cambria" w:cs="Times New Roman"/>
          <w:color w:val="000000"/>
          <w:lang w:eastAsia="cs-CZ"/>
        </w:rPr>
        <w:t>. 2021</w:t>
      </w:r>
    </w:p>
    <w:p w14:paraId="0BB5153B" w14:textId="2D4F6FD8" w:rsidR="002E458B" w:rsidRPr="00B04A2E" w:rsidRDefault="002E458B" w:rsidP="002E458B">
      <w:pPr>
        <w:autoSpaceDE w:val="0"/>
        <w:autoSpaceDN w:val="0"/>
        <w:adjustRightInd w:val="0"/>
        <w:spacing w:before="480" w:after="0" w:line="240" w:lineRule="auto"/>
        <w:jc w:val="both"/>
        <w:rPr>
          <w:rFonts w:ascii="Cambria" w:hAnsi="Cambria" w:cs="ADELLE-SEMIBOLD"/>
          <w:b/>
          <w:bCs/>
        </w:rPr>
      </w:pPr>
      <w:r w:rsidRPr="00B04A2E">
        <w:rPr>
          <w:rFonts w:ascii="Cambria" w:hAnsi="Cambria" w:cs="ADELLE-SEMIBOLD"/>
          <w:b/>
          <w:bCs/>
        </w:rPr>
        <w:t>Tresty za nouzového stavu: nedořešený problém</w:t>
      </w:r>
      <w:r w:rsidR="00512D66">
        <w:rPr>
          <w:rFonts w:ascii="Cambria" w:hAnsi="Cambria" w:cs="ADELLE-SEMIBOLD"/>
          <w:b/>
          <w:bCs/>
        </w:rPr>
        <w:t>, který má řešení</w:t>
      </w:r>
    </w:p>
    <w:p w14:paraId="2D2A08EF" w14:textId="058DE2DD" w:rsidR="00512D66" w:rsidRPr="00512D66" w:rsidRDefault="002E458B" w:rsidP="002E458B">
      <w:pPr>
        <w:autoSpaceDE w:val="0"/>
        <w:autoSpaceDN w:val="0"/>
        <w:adjustRightInd w:val="0"/>
        <w:spacing w:before="240" w:after="0" w:line="276" w:lineRule="auto"/>
        <w:rPr>
          <w:rFonts w:ascii="Cambria" w:hAnsi="Cambria" w:cs="ADELLE-LIGHT"/>
          <w:b/>
          <w:bCs/>
        </w:rPr>
      </w:pPr>
      <w:r w:rsidRPr="00512D66">
        <w:rPr>
          <w:rFonts w:ascii="Cambria" w:hAnsi="Cambria" w:cs="ADELLE-LIGHT"/>
          <w:b/>
          <w:bCs/>
        </w:rPr>
        <w:t xml:space="preserve">Jeden a půl roku odnětí svobody za krádež pěti housek či dva roky za krádež vibrátoru: Tresty uložené za bagatelní krádeže za nouzového stavu byly přísné i kvůli automatickému užívání kvalifikovaných skutkových podstat. </w:t>
      </w:r>
      <w:r w:rsidR="00512D66" w:rsidRPr="00512D66">
        <w:rPr>
          <w:rFonts w:ascii="Cambria" w:hAnsi="Cambria" w:cs="ADELLE-LIGHT"/>
          <w:b/>
          <w:bCs/>
        </w:rPr>
        <w:t>Jde o nejméně 466 zlodějů odsouzených do konce roku 2020. Celkový počet se pohybuje pravděpodobně mezi 1 000 a 1 500. Tato situace však má řešení – stížnost k Nejvyššímu soudu, kterou může podat ministryně spravedlnosti.</w:t>
      </w:r>
    </w:p>
    <w:p w14:paraId="33AB7E9B" w14:textId="13A86B5A" w:rsidR="002E458B" w:rsidRPr="00B04A2E" w:rsidRDefault="002E458B" w:rsidP="002E458B">
      <w:pPr>
        <w:autoSpaceDE w:val="0"/>
        <w:autoSpaceDN w:val="0"/>
        <w:adjustRightInd w:val="0"/>
        <w:spacing w:before="240" w:after="0" w:line="276" w:lineRule="auto"/>
        <w:rPr>
          <w:rFonts w:ascii="Cambria" w:hAnsi="Cambria" w:cs="ADELLE-LIGHT"/>
        </w:rPr>
      </w:pPr>
      <w:r w:rsidRPr="00B04A2E">
        <w:rPr>
          <w:rFonts w:ascii="Cambria" w:hAnsi="Cambria" w:cs="ADELLE-LIGHT"/>
        </w:rPr>
        <w:t>V březnu 2021 velký senát trestního kolegia Nejvyššího soudu tuto praxi odmítl s</w:t>
      </w:r>
      <w:r w:rsidRPr="00B04A2E">
        <w:rPr>
          <w:rFonts w:ascii="Cambria" w:hAnsi="Cambria" w:cs="Adelle Ut"/>
        </w:rPr>
        <w:t> </w:t>
      </w:r>
      <w:r w:rsidRPr="00B04A2E">
        <w:rPr>
          <w:rFonts w:ascii="Cambria" w:hAnsi="Cambria" w:cs="ADELLE-LIGHT"/>
        </w:rPr>
        <w:t>argumentací, že samotné spáchání krádeže během nouzového stavu není důvodem pro použití kvalifikované skutkové podstaty a aplikaci přísnějších trestních sazeb. Kdyby byli tito zloději odsouzeni dle správné právní kvalifikace dnes, byli by potrestáni řádově mírnějšími tresty.</w:t>
      </w:r>
      <w:r w:rsidR="00512D66">
        <w:rPr>
          <w:rFonts w:ascii="Cambria" w:hAnsi="Cambria" w:cs="ADELLE-LIGHT"/>
        </w:rPr>
        <w:br/>
      </w:r>
      <w:r w:rsidR="00512D66" w:rsidRPr="00B04A2E">
        <w:rPr>
          <w:rFonts w:ascii="Cambria" w:hAnsi="Cambria" w:cs="ADELLE-LIGHT"/>
        </w:rPr>
        <w:t>Dosud neznámý počet osob tak vykonává přísný a nespravedlivý trest.</w:t>
      </w:r>
      <w:r w:rsidR="00512D66">
        <w:rPr>
          <w:rFonts w:ascii="Cambria" w:hAnsi="Cambria" w:cs="ADELLE-LIGHT"/>
        </w:rPr>
        <w:t xml:space="preserve"> </w:t>
      </w:r>
      <w:r w:rsidRPr="00B04A2E">
        <w:rPr>
          <w:rFonts w:ascii="Cambria" w:hAnsi="Cambria" w:cs="ADELLE-LIGHT"/>
        </w:rPr>
        <w:t>V</w:t>
      </w:r>
      <w:r w:rsidRPr="00B04A2E">
        <w:rPr>
          <w:rFonts w:ascii="Cambria" w:hAnsi="Cambria" w:cs="Adelle Ut"/>
        </w:rPr>
        <w:t> </w:t>
      </w:r>
      <w:r w:rsidRPr="00B04A2E">
        <w:rPr>
          <w:rFonts w:ascii="Cambria" w:hAnsi="Cambria" w:cs="ADELLE-LIGHT"/>
        </w:rPr>
        <w:t>nové studii projektu Legal Data Hub autoři Jakub Drápal a Libor Dušek kvantifikují počet takto dotčených osob za</w:t>
      </w:r>
      <w:r w:rsidRPr="00B04A2E">
        <w:rPr>
          <w:rFonts w:ascii="Cambria" w:hAnsi="Cambria" w:cs="Adelle Ut"/>
        </w:rPr>
        <w:t> </w:t>
      </w:r>
      <w:r w:rsidRPr="00B04A2E">
        <w:rPr>
          <w:rFonts w:ascii="Cambria" w:hAnsi="Cambria" w:cs="ADELLE-LIGHT"/>
        </w:rPr>
        <w:t>využití databáze pravomocných soudních rozsudků z roku 2020. Autoři dále upozorňují na</w:t>
      </w:r>
      <w:r w:rsidRPr="00B04A2E">
        <w:rPr>
          <w:rFonts w:ascii="Cambria" w:hAnsi="Cambria" w:cs="Adelle Ut"/>
        </w:rPr>
        <w:t> </w:t>
      </w:r>
      <w:r w:rsidRPr="00B04A2E">
        <w:rPr>
          <w:rFonts w:ascii="Cambria" w:hAnsi="Cambria" w:cs="ADELLE-LIGHT"/>
        </w:rPr>
        <w:t xml:space="preserve">vysoké náklady vzniklého stavu a navrhují řešení. </w:t>
      </w:r>
    </w:p>
    <w:p w14:paraId="5524DF8B" w14:textId="48B9076A" w:rsidR="002E458B" w:rsidRPr="00B04A2E" w:rsidRDefault="00512D66" w:rsidP="002E458B">
      <w:pPr>
        <w:autoSpaceDE w:val="0"/>
        <w:autoSpaceDN w:val="0"/>
        <w:adjustRightInd w:val="0"/>
        <w:spacing w:before="240" w:after="0" w:line="276" w:lineRule="auto"/>
        <w:rPr>
          <w:rFonts w:ascii="Cambria" w:hAnsi="Cambria" w:cs="ADELLE-LIGHT"/>
        </w:rPr>
      </w:pPr>
      <w:r w:rsidRPr="00B04A2E">
        <w:rPr>
          <w:rFonts w:ascii="Cambria" w:hAnsi="Cambria" w:cs="ADELLE-LIGHT"/>
        </w:rPr>
        <w:t>Problém se týká minimálně 466 zlodějů z</w:t>
      </w:r>
      <w:r w:rsidRPr="00B04A2E">
        <w:rPr>
          <w:rFonts w:ascii="Cambria" w:hAnsi="Cambria" w:cs="Adelle Ut"/>
        </w:rPr>
        <w:t> </w:t>
      </w:r>
      <w:r w:rsidRPr="00B04A2E">
        <w:rPr>
          <w:rFonts w:ascii="Cambria" w:hAnsi="Cambria" w:cs="ADELLE-LIGHT"/>
        </w:rPr>
        <w:t>jarního nouzového stavu odsouzených do konce roku 2020. Celkový počet, zahrnující i další trestné činy a skutky z podzimního a zimního nouzového stavu, se nicméně pohybuje pravděpodobně mezi 1</w:t>
      </w:r>
      <w:r>
        <w:rPr>
          <w:rFonts w:ascii="Cambria" w:hAnsi="Cambria" w:cs="ADELLE-LIGHT"/>
        </w:rPr>
        <w:t xml:space="preserve"> </w:t>
      </w:r>
      <w:r w:rsidRPr="00B04A2E">
        <w:rPr>
          <w:rFonts w:ascii="Cambria" w:hAnsi="Cambria" w:cs="ADELLE-LIGHT"/>
        </w:rPr>
        <w:t>000 a 1</w:t>
      </w:r>
      <w:r>
        <w:rPr>
          <w:rFonts w:ascii="Cambria" w:hAnsi="Cambria" w:cs="ADELLE-LIGHT"/>
        </w:rPr>
        <w:t xml:space="preserve"> </w:t>
      </w:r>
      <w:r w:rsidRPr="00B04A2E">
        <w:rPr>
          <w:rFonts w:ascii="Cambria" w:hAnsi="Cambria" w:cs="ADELLE-LIGHT"/>
        </w:rPr>
        <w:t>500.</w:t>
      </w:r>
      <w:r>
        <w:rPr>
          <w:rFonts w:ascii="Cambria" w:hAnsi="Cambria" w:cs="ADELLE-LIGHT"/>
        </w:rPr>
        <w:br/>
      </w:r>
      <w:r w:rsidR="002E458B" w:rsidRPr="00B04A2E">
        <w:rPr>
          <w:rFonts w:ascii="Cambria" w:hAnsi="Cambria" w:cs="ADELLE-LIGHT"/>
        </w:rPr>
        <w:t>Jediným nástrojem, jak docílit spravedlivých trestů, je stížnost pro porušení zákona, kterou může Nejvyššímu soudu podat pouze ministryně spravedlnosti. Dle Jakuba Drápala a Libor Duška lze podání velkého počtu stížností provést efektivně s využitím dat a existujících funkcionalit elektronizace justice; je tak i příležitostí k novému využití těchto nástrojů v</w:t>
      </w:r>
      <w:r w:rsidR="002E458B" w:rsidRPr="00B04A2E">
        <w:rPr>
          <w:rFonts w:ascii="Cambria" w:hAnsi="Cambria" w:cs="Adelle Ut"/>
        </w:rPr>
        <w:t> </w:t>
      </w:r>
      <w:r w:rsidR="002E458B" w:rsidRPr="00B04A2E">
        <w:rPr>
          <w:rFonts w:ascii="Cambria" w:hAnsi="Cambria" w:cs="ADELLE-LIGHT"/>
        </w:rPr>
        <w:t>rozhodovací činnosti Ministerstva spravedlnosti a soudů.</w:t>
      </w:r>
    </w:p>
    <w:p w14:paraId="02A0AC2B" w14:textId="77777777" w:rsidR="002E458B" w:rsidRDefault="002E458B" w:rsidP="002E458B">
      <w:pPr>
        <w:autoSpaceDE w:val="0"/>
        <w:autoSpaceDN w:val="0"/>
        <w:adjustRightInd w:val="0"/>
        <w:spacing w:before="240" w:after="0" w:line="276" w:lineRule="auto"/>
        <w:rPr>
          <w:rFonts w:ascii="Cambria" w:hAnsi="Cambria" w:cs="ADELLE-LIGHT"/>
        </w:rPr>
      </w:pPr>
      <w:r w:rsidRPr="00B04A2E">
        <w:rPr>
          <w:rFonts w:ascii="Cambria" w:hAnsi="Cambria" w:cs="ADELLE-LIGHT"/>
        </w:rPr>
        <w:t>Podání stížností pro porušení zákona v</w:t>
      </w:r>
      <w:r w:rsidRPr="00B04A2E">
        <w:rPr>
          <w:rFonts w:ascii="Cambria" w:hAnsi="Cambria" w:cs="Adelle Ut"/>
        </w:rPr>
        <w:t> </w:t>
      </w:r>
      <w:r w:rsidRPr="00B04A2E">
        <w:rPr>
          <w:rFonts w:ascii="Cambria" w:hAnsi="Cambria" w:cs="ADELLE-LIGHT"/>
        </w:rPr>
        <w:t>případech přísných trestů z</w:t>
      </w:r>
      <w:r w:rsidRPr="00B04A2E">
        <w:rPr>
          <w:rFonts w:ascii="Cambria" w:hAnsi="Cambria" w:cs="Adelle Ut"/>
        </w:rPr>
        <w:t> </w:t>
      </w:r>
      <w:r w:rsidRPr="00B04A2E">
        <w:rPr>
          <w:rFonts w:ascii="Cambria" w:hAnsi="Cambria" w:cs="ADELLE-LIGHT"/>
        </w:rPr>
        <w:t>nouzového stavu povede k</w:t>
      </w:r>
      <w:r w:rsidRPr="00B04A2E">
        <w:rPr>
          <w:rFonts w:ascii="Cambria" w:hAnsi="Cambria" w:cs="Adelle Ut"/>
        </w:rPr>
        <w:t> </w:t>
      </w:r>
      <w:r w:rsidRPr="00B04A2E">
        <w:rPr>
          <w:rFonts w:ascii="Cambria" w:hAnsi="Cambria" w:cs="ADELLE-LIGHT"/>
        </w:rPr>
        <w:t>odstranění nespravedlností v trestání a k naplnění zásady rovnosti v</w:t>
      </w:r>
      <w:r w:rsidRPr="00B04A2E">
        <w:rPr>
          <w:rFonts w:ascii="Cambria" w:hAnsi="Cambria" w:cs="Adelle Ut"/>
        </w:rPr>
        <w:t> </w:t>
      </w:r>
      <w:r w:rsidRPr="00B04A2E">
        <w:rPr>
          <w:rFonts w:ascii="Cambria" w:hAnsi="Cambria" w:cs="ADELLE-LIGHT"/>
        </w:rPr>
        <w:t>trestání. A povede též k</w:t>
      </w:r>
      <w:r w:rsidRPr="00B04A2E">
        <w:rPr>
          <w:rFonts w:ascii="Cambria" w:hAnsi="Cambria" w:cs="Adelle Ut"/>
        </w:rPr>
        <w:t> </w:t>
      </w:r>
      <w:r w:rsidRPr="00B04A2E">
        <w:rPr>
          <w:rFonts w:ascii="Cambria" w:hAnsi="Cambria" w:cs="ADELLE-LIGHT"/>
        </w:rPr>
        <w:t xml:space="preserve">podstatným úsporám, neboť věznění stovek odsouzených po celou délku přísných trestů, </w:t>
      </w:r>
      <w:r>
        <w:rPr>
          <w:rFonts w:ascii="Cambria" w:hAnsi="Cambria" w:cs="ADELLE-LIGHT"/>
        </w:rPr>
        <w:br/>
      </w:r>
      <w:r w:rsidRPr="00B04A2E">
        <w:rPr>
          <w:rFonts w:ascii="Cambria" w:hAnsi="Cambria" w:cs="ADELLE-LIGHT"/>
        </w:rPr>
        <w:t xml:space="preserve">které jim neměly být uloženy, je nákladné. Úsporu nákladů státu spojenou s vyřízením stížností </w:t>
      </w:r>
      <w:r>
        <w:rPr>
          <w:rFonts w:ascii="Cambria" w:hAnsi="Cambria" w:cs="ADELLE-LIGHT"/>
        </w:rPr>
        <w:br/>
      </w:r>
      <w:r w:rsidRPr="00B04A2E">
        <w:rPr>
          <w:rFonts w:ascii="Cambria" w:hAnsi="Cambria" w:cs="ADELLE-LIGHT"/>
        </w:rPr>
        <w:t>a uložením mírnějších trestů odhadují v řádu 200-250 milionů korun.</w:t>
      </w:r>
    </w:p>
    <w:p w14:paraId="68F9AAD6" w14:textId="77777777" w:rsidR="002E458B" w:rsidRDefault="002E458B" w:rsidP="002E458B">
      <w:pPr>
        <w:spacing w:after="0" w:line="240" w:lineRule="auto"/>
        <w:rPr>
          <w:rFonts w:ascii="Cambria" w:hAnsi="Cambria" w:cs="ADELLE-LIGHT"/>
        </w:rPr>
      </w:pPr>
      <w:r>
        <w:rPr>
          <w:rFonts w:ascii="Cambria" w:hAnsi="Cambria" w:cs="ADELLE-LIGHT"/>
        </w:rPr>
        <w:br w:type="page"/>
      </w:r>
    </w:p>
    <w:p w14:paraId="4D1BBCF2" w14:textId="77777777" w:rsidR="002E458B" w:rsidRPr="00394ED5" w:rsidRDefault="002E458B" w:rsidP="002E458B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mbria" w:hAnsi="Cambria" w:cs="ADELLE-LIGHT"/>
          <w:b/>
          <w:bCs/>
        </w:rPr>
      </w:pPr>
      <w:r w:rsidRPr="00394ED5">
        <w:rPr>
          <w:rFonts w:ascii="Cambria" w:hAnsi="Cambria" w:cs="ADELLE-LIGHT"/>
          <w:b/>
          <w:bCs/>
        </w:rPr>
        <w:lastRenderedPageBreak/>
        <w:t>Studie je k</w:t>
      </w:r>
      <w:r w:rsidRPr="00394ED5">
        <w:rPr>
          <w:rFonts w:ascii="Cambria" w:hAnsi="Cambria" w:cs="Adelle Ut"/>
          <w:b/>
          <w:bCs/>
        </w:rPr>
        <w:t> </w:t>
      </w:r>
      <w:r w:rsidRPr="00394ED5">
        <w:rPr>
          <w:rFonts w:ascii="Cambria" w:hAnsi="Cambria" w:cs="ADELLE-LIGHT"/>
          <w:b/>
          <w:bCs/>
        </w:rPr>
        <w:t>dispozici zde:</w:t>
      </w:r>
    </w:p>
    <w:p w14:paraId="3C2C5B4B" w14:textId="77777777" w:rsidR="002E458B" w:rsidRPr="00394ED5" w:rsidRDefault="002E458B" w:rsidP="002E458B">
      <w:pPr>
        <w:autoSpaceDE w:val="0"/>
        <w:autoSpaceDN w:val="0"/>
        <w:adjustRightInd w:val="0"/>
        <w:spacing w:before="120" w:after="0" w:line="240" w:lineRule="auto"/>
        <w:rPr>
          <w:rStyle w:val="Zdraznn"/>
          <w:rFonts w:ascii="Cambria" w:hAnsi="Cambria" w:cs="Open Sans"/>
          <w:i w:val="0"/>
          <w:iCs w:val="0"/>
          <w:color w:val="000000"/>
          <w:shd w:val="clear" w:color="auto" w:fill="FFFFFF"/>
        </w:rPr>
      </w:pPr>
      <w:r w:rsidRPr="00394ED5">
        <w:rPr>
          <w:rFonts w:ascii="Cambria" w:hAnsi="Cambria" w:cs="Open Sans"/>
          <w:color w:val="000000"/>
          <w:shd w:val="clear" w:color="auto" w:fill="FFFFFF"/>
        </w:rPr>
        <w:t>DRÁPAL, Jakub a DUŠEK, Libor:</w:t>
      </w:r>
      <w:r w:rsidRPr="00394ED5">
        <w:rPr>
          <w:rFonts w:ascii="Cambria" w:hAnsi="Cambria" w:cs="Adelle Ut"/>
          <w:color w:val="000000"/>
          <w:shd w:val="clear" w:color="auto" w:fill="FFFFFF"/>
        </w:rPr>
        <w:t> </w:t>
      </w:r>
      <w:hyperlink r:id="rId8" w:tgtFrame="_blank" w:history="1">
        <w:r w:rsidRPr="00394ED5">
          <w:rPr>
            <w:rStyle w:val="Hypertextovodkaz"/>
            <w:rFonts w:ascii="Cambria" w:hAnsi="Cambria" w:cs="Open Sans"/>
            <w:i/>
            <w:iCs/>
            <w:color w:val="D43241"/>
          </w:rPr>
          <w:t>Tresty za nouzového stavu: nedořešený problém</w:t>
        </w:r>
      </w:hyperlink>
      <w:r w:rsidRPr="00394ED5">
        <w:rPr>
          <w:rStyle w:val="Zdraznn"/>
          <w:rFonts w:ascii="Cambria" w:hAnsi="Cambria" w:cs="Open Sans"/>
          <w:color w:val="000000"/>
          <w:shd w:val="clear" w:color="auto" w:fill="FFFFFF"/>
        </w:rPr>
        <w:br/>
        <w:t xml:space="preserve">Studie Legal Data Hub 1/2021, květen 2021. </w:t>
      </w:r>
    </w:p>
    <w:p w14:paraId="0CB71BC0" w14:textId="77777777" w:rsidR="002E458B" w:rsidRPr="00394ED5" w:rsidRDefault="00045494" w:rsidP="002E458B">
      <w:pPr>
        <w:autoSpaceDE w:val="0"/>
        <w:autoSpaceDN w:val="0"/>
        <w:adjustRightInd w:val="0"/>
        <w:spacing w:before="240" w:after="0" w:line="240" w:lineRule="auto"/>
        <w:rPr>
          <w:rStyle w:val="Hypertextovodkaz"/>
          <w:rFonts w:ascii="Cambria" w:hAnsi="Cambria" w:cs="Open Sans"/>
          <w:color w:val="D43241"/>
        </w:rPr>
      </w:pPr>
      <w:hyperlink r:id="rId9" w:history="1">
        <w:r w:rsidR="002E458B" w:rsidRPr="00394ED5">
          <w:rPr>
            <w:rStyle w:val="Hypertextovodkaz"/>
            <w:rFonts w:ascii="Cambria" w:hAnsi="Cambria" w:cs="Open Sans"/>
            <w:color w:val="D43241"/>
          </w:rPr>
          <w:t>https://www.prf.cuni.cz/sites/default/files/uploads/files/LDH2021-1-Tresty-za-nouzoveho-stavu-nedoreseny-problem_1.pdf</w:t>
        </w:r>
      </w:hyperlink>
    </w:p>
    <w:p w14:paraId="67B03D82" w14:textId="77777777" w:rsidR="002E458B" w:rsidRPr="00394ED5" w:rsidRDefault="002E458B" w:rsidP="002E458B">
      <w:pPr>
        <w:autoSpaceDE w:val="0"/>
        <w:autoSpaceDN w:val="0"/>
        <w:adjustRightInd w:val="0"/>
        <w:spacing w:before="2160" w:after="0" w:line="276" w:lineRule="auto"/>
        <w:rPr>
          <w:rFonts w:ascii="Cambria" w:hAnsi="Cambria" w:cs="ADELLE-LIGHT"/>
        </w:rPr>
      </w:pPr>
      <w:r w:rsidRPr="00394ED5">
        <w:rPr>
          <w:rFonts w:ascii="Cambria" w:hAnsi="Cambria" w:cs="ADELLE-SEMI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0EE0C" wp14:editId="7D3927E2">
                <wp:simplePos x="0" y="0"/>
                <wp:positionH relativeFrom="column">
                  <wp:posOffset>-22606</wp:posOffset>
                </wp:positionH>
                <wp:positionV relativeFrom="paragraph">
                  <wp:posOffset>941324</wp:posOffset>
                </wp:positionV>
                <wp:extent cx="5903366" cy="0"/>
                <wp:effectExtent l="0" t="0" r="15240" b="1270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336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71D4B770" id="Přímá spojnic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74.1pt" to="463.05pt,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" strokecolor="#c00000" strokeweight=".5pt">
                <v:stroke joinstyle="miter"/>
              </v:line>
            </w:pict>
          </mc:Fallback>
        </mc:AlternateContent>
      </w:r>
      <w:r w:rsidRPr="00394ED5">
        <w:rPr>
          <w:rFonts w:ascii="Cambria" w:hAnsi="Cambria" w:cs="ADELLE-SEMIBOLD"/>
          <w:b/>
          <w:bCs/>
        </w:rPr>
        <w:t xml:space="preserve">Legal Data Hub </w:t>
      </w:r>
      <w:r w:rsidRPr="00394ED5">
        <w:rPr>
          <w:rFonts w:ascii="Cambria" w:hAnsi="Cambria" w:cs="ADELLE-LIGHT"/>
        </w:rPr>
        <w:t>je novým projektem Právnické fakulty UK. Sdružuje akademiky a studenty, kteří zkoumají fungování justice, právní regulace a kriminalitu pomocí analýzy dat a</w:t>
      </w:r>
      <w:r>
        <w:rPr>
          <w:rFonts w:ascii="Cambria" w:hAnsi="Cambria" w:cs="ADELLE-LIGHT"/>
        </w:rPr>
        <w:t xml:space="preserve"> </w:t>
      </w:r>
      <w:r w:rsidRPr="00394ED5">
        <w:rPr>
          <w:rFonts w:ascii="Cambria" w:hAnsi="Cambria" w:cs="ADELLE-LIGHT"/>
        </w:rPr>
        <w:t>statistických metod. Poskytuje technické zázemí pro datové analýzy. Má za cíl publikovat krátké studie k</w:t>
      </w:r>
      <w:r w:rsidRPr="00B04A2E">
        <w:rPr>
          <w:rFonts w:ascii="Cambria" w:hAnsi="Cambria" w:cs="Adelle Ut"/>
        </w:rPr>
        <w:t> </w:t>
      </w:r>
      <w:r w:rsidRPr="00394ED5">
        <w:rPr>
          <w:rFonts w:ascii="Cambria" w:hAnsi="Cambria" w:cs="ADELLE-LIGHT"/>
        </w:rPr>
        <w:t>aktuálním tématům a popularizovat výsledky akademických studií pro širší publikum.</w:t>
      </w:r>
    </w:p>
    <w:p w14:paraId="6F349D3C" w14:textId="31911F68" w:rsidR="002E458B" w:rsidRDefault="00045494" w:rsidP="002E458B">
      <w:pPr>
        <w:autoSpaceDE w:val="0"/>
        <w:autoSpaceDN w:val="0"/>
        <w:adjustRightInd w:val="0"/>
        <w:spacing w:before="600" w:after="0" w:line="240" w:lineRule="auto"/>
        <w:rPr>
          <w:rStyle w:val="Hypertextovodkaz"/>
          <w:rFonts w:ascii="Cambria" w:hAnsi="Cambria" w:cs="Open Sans"/>
          <w:color w:val="D43241"/>
        </w:rPr>
      </w:pPr>
      <w:hyperlink r:id="rId10" w:history="1">
        <w:r w:rsidR="002E458B" w:rsidRPr="00394ED5">
          <w:rPr>
            <w:rStyle w:val="Hypertextovodkaz"/>
            <w:rFonts w:ascii="Cambria" w:hAnsi="Cambria" w:cs="Open Sans"/>
            <w:color w:val="D43241"/>
          </w:rPr>
          <w:t>prf.cuni.cz/legal-data-hub</w:t>
        </w:r>
      </w:hyperlink>
    </w:p>
    <w:p w14:paraId="20EB80CB" w14:textId="55B09913" w:rsidR="00123535" w:rsidRPr="0047295D" w:rsidRDefault="00123535" w:rsidP="009928AE">
      <w:pPr>
        <w:rPr>
          <w:rFonts w:ascii="Cambria" w:hAnsi="Cambria"/>
        </w:rPr>
      </w:pPr>
    </w:p>
    <w:sectPr w:rsidR="00123535" w:rsidRPr="0047295D" w:rsidSect="00D21353">
      <w:headerReference w:type="first" r:id="rId11"/>
      <w:footerReference w:type="first" r:id="rId12"/>
      <w:type w:val="continuous"/>
      <w:pgSz w:w="11900" w:h="16840" w:code="9"/>
      <w:pgMar w:top="1418" w:right="1418" w:bottom="1701" w:left="1418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73445" w14:textId="77777777" w:rsidR="00045494" w:rsidRDefault="00045494" w:rsidP="00505244">
      <w:r>
        <w:separator/>
      </w:r>
    </w:p>
  </w:endnote>
  <w:endnote w:type="continuationSeparator" w:id="0">
    <w:p w14:paraId="53D28609" w14:textId="77777777" w:rsidR="00045494" w:rsidRDefault="00045494" w:rsidP="0050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ELLE-SEMIBOLD">
    <w:panose1 w:val="02000503000000020004"/>
    <w:charset w:val="00"/>
    <w:family w:val="auto"/>
    <w:notTrueType/>
    <w:pitch w:val="variable"/>
    <w:sig w:usb0="80000087" w:usb1="0000004B" w:usb2="00000000" w:usb3="00000000" w:csb0="00000083" w:csb1="00000000"/>
  </w:font>
  <w:font w:name="ADELLE-LIGHT">
    <w:panose1 w:val="02000503000000020004"/>
    <w:charset w:val="00"/>
    <w:family w:val="auto"/>
    <w:notTrueType/>
    <w:pitch w:val="variable"/>
    <w:sig w:usb0="80000087" w:usb1="0000004B" w:usb2="00000000" w:usb3="00000000" w:csb0="00000083" w:csb1="00000000"/>
  </w:font>
  <w:font w:name="Adelle Ut">
    <w:altName w:val="Adelle Ut"/>
    <w:panose1 w:val="02000503060000020004"/>
    <w:charset w:val="00"/>
    <w:family w:val="auto"/>
    <w:notTrueType/>
    <w:pitch w:val="variable"/>
    <w:sig w:usb0="A00000AF" w:usb1="4000205B" w:usb2="00000000" w:usb3="00000000" w:csb0="00000093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EC632" w14:textId="3B3D3B43" w:rsidR="00F51641" w:rsidRPr="0047295D" w:rsidRDefault="002E458B" w:rsidP="002E458B">
    <w:pPr>
      <w:spacing w:before="240" w:after="0" w:line="276" w:lineRule="auto"/>
      <w:rPr>
        <w:rFonts w:ascii="Gill Sans MT" w:eastAsia="Times New Roman" w:hAnsi="Gill Sans MT" w:cs="Times New Roman"/>
        <w:color w:val="000000"/>
        <w:sz w:val="16"/>
        <w:szCs w:val="16"/>
        <w:lang w:eastAsia="cs-CZ"/>
      </w:rPr>
    </w:pPr>
    <w:r>
      <w:rPr>
        <w:rFonts w:ascii="Gill Sans MT" w:eastAsia="Times New Roman" w:hAnsi="Gill Sans MT" w:cs="Times New Roman"/>
        <w:color w:val="000000"/>
        <w:sz w:val="16"/>
        <w:szCs w:val="16"/>
        <w:lang w:eastAsia="cs-CZ"/>
      </w:rPr>
      <w:br/>
    </w:r>
    <w:r w:rsidR="0047295D" w:rsidRPr="0047295D">
      <w:rPr>
        <w:rFonts w:ascii="Gill Sans MT" w:eastAsia="Times New Roman" w:hAnsi="Gill Sans MT" w:cs="Times New Roman"/>
        <w:color w:val="000000"/>
        <w:sz w:val="16"/>
        <w:szCs w:val="16"/>
        <w:lang w:eastAsia="cs-CZ"/>
      </w:rPr>
      <w:t xml:space="preserve">Mgr. Vlasta Tichá </w:t>
    </w:r>
    <w:r w:rsidR="0047295D" w:rsidRPr="0047295D">
      <w:rPr>
        <w:rFonts w:ascii="Gill Sans MT" w:eastAsia="Times New Roman" w:hAnsi="Gill Sans MT" w:cs="Times New Roman"/>
        <w:color w:val="000000"/>
        <w:sz w:val="16"/>
        <w:szCs w:val="16"/>
        <w:lang w:eastAsia="cs-CZ"/>
      </w:rPr>
      <w:br/>
      <w:t xml:space="preserve">vedoucí </w:t>
    </w:r>
    <w:r w:rsidR="00512D66">
      <w:rPr>
        <w:rFonts w:ascii="Gill Sans MT" w:eastAsia="Times New Roman" w:hAnsi="Gill Sans MT" w:cs="Times New Roman"/>
        <w:color w:val="000000"/>
        <w:sz w:val="16"/>
        <w:szCs w:val="16"/>
        <w:lang w:eastAsia="cs-CZ"/>
      </w:rPr>
      <w:t>o</w:t>
    </w:r>
    <w:r w:rsidR="0047295D" w:rsidRPr="0047295D">
      <w:rPr>
        <w:rFonts w:ascii="Gill Sans MT" w:eastAsia="Times New Roman" w:hAnsi="Gill Sans MT" w:cs="Times New Roman"/>
        <w:color w:val="000000"/>
        <w:sz w:val="16"/>
        <w:szCs w:val="16"/>
        <w:lang w:eastAsia="cs-CZ"/>
      </w:rPr>
      <w:t>ddělení komunikace a vnějších vztahů PF UK</w:t>
    </w:r>
    <w:r w:rsidR="0047295D" w:rsidRPr="0047295D">
      <w:rPr>
        <w:rFonts w:ascii="Gill Sans MT" w:eastAsia="Times New Roman" w:hAnsi="Gill Sans MT" w:cs="Times New Roman"/>
        <w:color w:val="000000"/>
        <w:sz w:val="16"/>
        <w:szCs w:val="16"/>
        <w:lang w:eastAsia="cs-CZ"/>
      </w:rPr>
      <w:tab/>
    </w:r>
    <w:r w:rsidR="0047295D" w:rsidRPr="0047295D">
      <w:rPr>
        <w:rFonts w:ascii="Gill Sans MT" w:eastAsia="Times New Roman" w:hAnsi="Gill Sans MT" w:cs="Times New Roman"/>
        <w:color w:val="000000"/>
        <w:sz w:val="16"/>
        <w:szCs w:val="16"/>
        <w:lang w:eastAsia="cs-CZ"/>
      </w:rPr>
      <w:tab/>
    </w:r>
    <w:r w:rsidR="0047295D" w:rsidRPr="0047295D">
      <w:rPr>
        <w:rFonts w:ascii="Gill Sans MT" w:eastAsia="Times New Roman" w:hAnsi="Gill Sans MT" w:cs="Times New Roman"/>
        <w:color w:val="000000"/>
        <w:sz w:val="16"/>
        <w:szCs w:val="16"/>
        <w:lang w:eastAsia="cs-CZ"/>
      </w:rPr>
      <w:tab/>
    </w:r>
    <w:r w:rsidR="0047295D" w:rsidRPr="0047295D">
      <w:rPr>
        <w:rFonts w:ascii="Gill Sans MT" w:eastAsia="Times New Roman" w:hAnsi="Gill Sans MT" w:cs="Times New Roman"/>
        <w:color w:val="000000"/>
        <w:sz w:val="16"/>
        <w:szCs w:val="16"/>
        <w:lang w:eastAsia="cs-CZ"/>
      </w:rPr>
      <w:tab/>
    </w:r>
    <w:r w:rsidR="0047295D" w:rsidRPr="0047295D">
      <w:rPr>
        <w:rFonts w:ascii="Gill Sans MT" w:eastAsia="Times New Roman" w:hAnsi="Gill Sans MT" w:cs="Times New Roman"/>
        <w:color w:val="000000"/>
        <w:sz w:val="16"/>
        <w:szCs w:val="16"/>
        <w:lang w:eastAsia="cs-CZ"/>
      </w:rPr>
      <w:tab/>
    </w:r>
    <w:r w:rsidR="00512D66">
      <w:rPr>
        <w:rFonts w:ascii="Gill Sans MT" w:eastAsia="Times New Roman" w:hAnsi="Gill Sans MT" w:cs="Times New Roman"/>
        <w:color w:val="000000"/>
        <w:sz w:val="16"/>
        <w:szCs w:val="16"/>
        <w:lang w:eastAsia="cs-CZ"/>
      </w:rPr>
      <w:tab/>
    </w:r>
    <w:r w:rsidR="0047295D" w:rsidRPr="0047295D">
      <w:rPr>
        <w:rFonts w:ascii="Gill Sans MT" w:hAnsi="Gill Sans MT"/>
        <w:sz w:val="16"/>
        <w:szCs w:val="16"/>
      </w:rPr>
      <w:t>http://www.prf.cuni.cz</w:t>
    </w:r>
    <w:r w:rsidR="0047295D" w:rsidRPr="0047295D">
      <w:rPr>
        <w:rFonts w:ascii="Gill Sans MT" w:eastAsia="Times New Roman" w:hAnsi="Gill Sans MT" w:cs="Times New Roman"/>
        <w:color w:val="000000"/>
        <w:sz w:val="16"/>
        <w:szCs w:val="16"/>
        <w:lang w:eastAsia="cs-CZ"/>
      </w:rPr>
      <w:br/>
    </w:r>
    <w:r w:rsidR="00CB78BB" w:rsidRPr="0047295D">
      <w:rPr>
        <w:rFonts w:ascii="Gill Sans MT" w:hAnsi="Gill Sans MT"/>
        <w:sz w:val="16"/>
        <w:szCs w:val="16"/>
      </w:rPr>
      <w:t xml:space="preserve">Univerzita Karlova, </w:t>
    </w:r>
    <w:r w:rsidR="00286036" w:rsidRPr="0047295D">
      <w:rPr>
        <w:rFonts w:ascii="Gill Sans MT" w:hAnsi="Gill Sans MT"/>
        <w:noProof/>
        <w:sz w:val="16"/>
        <w:szCs w:val="16"/>
        <w:lang w:eastAsia="cs-CZ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6F98FF03" wp14:editId="64D498EE">
              <wp:simplePos x="0" y="0"/>
              <wp:positionH relativeFrom="column">
                <wp:posOffset>0</wp:posOffset>
              </wp:positionH>
              <wp:positionV relativeFrom="bottomMargin">
                <wp:posOffset>144144</wp:posOffset>
              </wp:positionV>
              <wp:extent cx="5760085" cy="0"/>
              <wp:effectExtent l="0" t="0" r="0" b="0"/>
              <wp:wrapNone/>
              <wp:docPr id="10" name="Přímá spojnic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571854AD" id="Přímá spojnice 10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bottom-margin-area;mso-width-percent:0;mso-height-percent:0;mso-width-relative:margin;mso-height-relative:page" from="0,11.35pt" to="453.5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" strokecolor="windowText" strokeweight=".5pt">
              <v:stroke joinstyle="miter"/>
              <o:lock v:ext="edit" shapetype="f"/>
              <w10:wrap anchory="margin"/>
            </v:line>
          </w:pict>
        </mc:Fallback>
      </mc:AlternateContent>
    </w:r>
    <w:r w:rsidR="00560D37" w:rsidRPr="0047295D">
      <w:rPr>
        <w:rFonts w:ascii="Gill Sans MT" w:hAnsi="Gill Sans MT"/>
        <w:sz w:val="16"/>
        <w:szCs w:val="16"/>
      </w:rPr>
      <w:t>Právnická fakulta</w:t>
    </w:r>
    <w:r w:rsidR="006415FF" w:rsidRPr="0047295D">
      <w:rPr>
        <w:rFonts w:ascii="Gill Sans MT" w:hAnsi="Gill Sans MT"/>
        <w:sz w:val="16"/>
        <w:szCs w:val="16"/>
      </w:rPr>
      <w:tab/>
    </w:r>
    <w:r w:rsidR="0047295D" w:rsidRPr="0047295D">
      <w:rPr>
        <w:rFonts w:ascii="Gill Sans MT" w:hAnsi="Gill Sans MT"/>
        <w:sz w:val="16"/>
        <w:szCs w:val="16"/>
      </w:rPr>
      <w:tab/>
    </w:r>
    <w:r w:rsidR="0047295D" w:rsidRPr="0047295D">
      <w:rPr>
        <w:rFonts w:ascii="Gill Sans MT" w:hAnsi="Gill Sans MT"/>
        <w:sz w:val="16"/>
        <w:szCs w:val="16"/>
      </w:rPr>
      <w:tab/>
    </w:r>
    <w:r w:rsidR="0047295D" w:rsidRPr="0047295D">
      <w:rPr>
        <w:rFonts w:ascii="Gill Sans MT" w:hAnsi="Gill Sans MT"/>
        <w:sz w:val="16"/>
        <w:szCs w:val="16"/>
      </w:rPr>
      <w:tab/>
    </w:r>
    <w:r w:rsidR="0047295D" w:rsidRPr="0047295D">
      <w:rPr>
        <w:rFonts w:ascii="Gill Sans MT" w:hAnsi="Gill Sans MT"/>
        <w:sz w:val="16"/>
        <w:szCs w:val="16"/>
      </w:rPr>
      <w:tab/>
    </w:r>
    <w:r w:rsidR="0047295D" w:rsidRPr="0047295D">
      <w:rPr>
        <w:rFonts w:ascii="Gill Sans MT" w:hAnsi="Gill Sans MT"/>
        <w:sz w:val="16"/>
        <w:szCs w:val="16"/>
      </w:rPr>
      <w:tab/>
    </w:r>
    <w:r w:rsidR="0047295D">
      <w:rPr>
        <w:rFonts w:ascii="Gill Sans MT" w:hAnsi="Gill Sans MT"/>
        <w:sz w:val="16"/>
        <w:szCs w:val="16"/>
      </w:rPr>
      <w:tab/>
    </w:r>
    <w:r w:rsidR="0047295D" w:rsidRPr="0047295D">
      <w:rPr>
        <w:rFonts w:ascii="Gill Sans MT" w:hAnsi="Gill Sans MT"/>
        <w:sz w:val="16"/>
        <w:szCs w:val="16"/>
      </w:rPr>
      <w:t xml:space="preserve">e-mail: </w:t>
    </w:r>
    <w:hyperlink r:id="rId1" w:history="1">
      <w:r w:rsidR="0047295D" w:rsidRPr="0047295D">
        <w:rPr>
          <w:rStyle w:val="Hypertextovodkaz"/>
          <w:rFonts w:ascii="Gill Sans MT" w:eastAsia="Times New Roman" w:hAnsi="Gill Sans MT"/>
          <w:sz w:val="16"/>
          <w:szCs w:val="16"/>
          <w:lang w:eastAsia="cs-CZ"/>
        </w:rPr>
        <w:t>tichavl@prf.cuni.cz</w:t>
      </w:r>
    </w:hyperlink>
  </w:p>
  <w:p w14:paraId="6C9661CD" w14:textId="4D9D0468" w:rsidR="00DB23EF" w:rsidRDefault="006415FF" w:rsidP="002E458B">
    <w:pPr>
      <w:pStyle w:val="Zpat"/>
      <w:tabs>
        <w:tab w:val="clear" w:pos="4536"/>
        <w:tab w:val="clear" w:pos="9072"/>
        <w:tab w:val="left" w:pos="6521"/>
      </w:tabs>
      <w:spacing w:line="276" w:lineRule="auto"/>
      <w:rPr>
        <w:rFonts w:ascii="Gill Sans MT" w:hAnsi="Gill Sans MT"/>
        <w:sz w:val="16"/>
      </w:rPr>
    </w:pPr>
    <w:r w:rsidRPr="0047295D">
      <w:rPr>
        <w:rFonts w:ascii="Gill Sans MT" w:hAnsi="Gill Sans MT"/>
        <w:sz w:val="16"/>
        <w:szCs w:val="16"/>
      </w:rPr>
      <w:t>nám. Curieových 901/7,</w:t>
    </w:r>
    <w:r w:rsidR="00DB23EF" w:rsidRPr="0047295D">
      <w:rPr>
        <w:rFonts w:ascii="Gill Sans MT" w:hAnsi="Gill Sans MT"/>
        <w:sz w:val="16"/>
        <w:szCs w:val="16"/>
      </w:rPr>
      <w:t xml:space="preserve"> 116 40 Praha 1 </w:t>
    </w:r>
    <w:r w:rsidR="0047295D" w:rsidRPr="0047295D">
      <w:rPr>
        <w:rFonts w:ascii="Gill Sans MT" w:hAnsi="Gill Sans MT"/>
        <w:sz w:val="16"/>
        <w:szCs w:val="16"/>
      </w:rPr>
      <w:tab/>
    </w:r>
    <w:r w:rsidR="0047295D" w:rsidRPr="0047295D">
      <w:rPr>
        <w:rFonts w:ascii="Gill Sans MT" w:hAnsi="Gill Sans MT"/>
        <w:sz w:val="16"/>
        <w:szCs w:val="16"/>
      </w:rPr>
      <w:tab/>
      <w:t xml:space="preserve">tel.: </w:t>
    </w:r>
    <w:r w:rsidR="0047295D" w:rsidRPr="0047295D">
      <w:rPr>
        <w:rFonts w:ascii="Gill Sans MT" w:eastAsia="Times New Roman" w:hAnsi="Gill Sans MT"/>
        <w:color w:val="000000"/>
        <w:sz w:val="16"/>
        <w:szCs w:val="16"/>
        <w:lang w:eastAsia="cs-CZ"/>
      </w:rPr>
      <w:t>608 759 579</w:t>
    </w:r>
    <w:r w:rsidR="00DB23EF">
      <w:rPr>
        <w:rFonts w:ascii="Gill Sans MT" w:hAnsi="Gill Sans MT"/>
        <w:sz w:val="16"/>
      </w:rPr>
      <w:tab/>
    </w:r>
  </w:p>
  <w:p w14:paraId="6032D60E" w14:textId="77777777" w:rsidR="0003292A" w:rsidRPr="00E56C4E" w:rsidRDefault="006415FF" w:rsidP="00356983">
    <w:pPr>
      <w:pStyle w:val="Zpat"/>
      <w:tabs>
        <w:tab w:val="clear" w:pos="4536"/>
        <w:tab w:val="clear" w:pos="9072"/>
        <w:tab w:val="left" w:pos="1316"/>
        <w:tab w:val="left" w:pos="6521"/>
      </w:tabs>
    </w:pPr>
    <w:r w:rsidRPr="00AD60D0">
      <w:rPr>
        <w:rFonts w:ascii="Gill Sans MT" w:hAnsi="Gill Sans MT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E71AC" w14:textId="77777777" w:rsidR="00045494" w:rsidRDefault="00045494" w:rsidP="00505244">
      <w:r>
        <w:separator/>
      </w:r>
    </w:p>
  </w:footnote>
  <w:footnote w:type="continuationSeparator" w:id="0">
    <w:p w14:paraId="399A6CFE" w14:textId="77777777" w:rsidR="00045494" w:rsidRDefault="00045494" w:rsidP="00505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D58B2" w14:textId="25301346" w:rsidR="00B9724B" w:rsidRPr="00B019AA" w:rsidRDefault="002E458B" w:rsidP="002E458B">
    <w:pPr>
      <w:pStyle w:val="Zhlav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0602685" wp14:editId="358BD253">
          <wp:simplePos x="0" y="0"/>
          <wp:positionH relativeFrom="column">
            <wp:posOffset>-555675</wp:posOffset>
          </wp:positionH>
          <wp:positionV relativeFrom="paragraph">
            <wp:posOffset>-188671</wp:posOffset>
          </wp:positionV>
          <wp:extent cx="6828925" cy="837794"/>
          <wp:effectExtent l="0" t="0" r="3810" b="635"/>
          <wp:wrapThrough wrapText="bothSides">
            <wp:wrapPolygon edited="0">
              <wp:start x="0" y="0"/>
              <wp:lineTo x="0" y="21289"/>
              <wp:lineTo x="21572" y="21289"/>
              <wp:lineTo x="21572" y="0"/>
              <wp:lineTo x="0" y="0"/>
            </wp:wrapPolygon>
          </wp:wrapThrough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8925" cy="8377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1D2CDF"/>
    <w:multiLevelType w:val="singleLevel"/>
    <w:tmpl w:val="24B0E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B8912B3"/>
    <w:multiLevelType w:val="hybridMultilevel"/>
    <w:tmpl w:val="27AE82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3EF"/>
    <w:rsid w:val="000104F8"/>
    <w:rsid w:val="00025466"/>
    <w:rsid w:val="00027153"/>
    <w:rsid w:val="0003292A"/>
    <w:rsid w:val="000342DD"/>
    <w:rsid w:val="00045494"/>
    <w:rsid w:val="00045EEC"/>
    <w:rsid w:val="00064AB3"/>
    <w:rsid w:val="00071FBC"/>
    <w:rsid w:val="00093350"/>
    <w:rsid w:val="000B5E4A"/>
    <w:rsid w:val="0010698E"/>
    <w:rsid w:val="00116B95"/>
    <w:rsid w:val="00123535"/>
    <w:rsid w:val="001765B6"/>
    <w:rsid w:val="00192002"/>
    <w:rsid w:val="00192427"/>
    <w:rsid w:val="001A5368"/>
    <w:rsid w:val="001B18F8"/>
    <w:rsid w:val="001B6A5B"/>
    <w:rsid w:val="001C5181"/>
    <w:rsid w:val="001F1773"/>
    <w:rsid w:val="001F4351"/>
    <w:rsid w:val="00200312"/>
    <w:rsid w:val="002069FD"/>
    <w:rsid w:val="002173E3"/>
    <w:rsid w:val="002275A2"/>
    <w:rsid w:val="002439F2"/>
    <w:rsid w:val="002614ED"/>
    <w:rsid w:val="002671F5"/>
    <w:rsid w:val="002835B7"/>
    <w:rsid w:val="00286036"/>
    <w:rsid w:val="002A68E8"/>
    <w:rsid w:val="002B3721"/>
    <w:rsid w:val="002E3E55"/>
    <w:rsid w:val="002E458B"/>
    <w:rsid w:val="002F57D1"/>
    <w:rsid w:val="00306FF2"/>
    <w:rsid w:val="00332C55"/>
    <w:rsid w:val="00332D86"/>
    <w:rsid w:val="00337D01"/>
    <w:rsid w:val="00356983"/>
    <w:rsid w:val="00370125"/>
    <w:rsid w:val="00373AB6"/>
    <w:rsid w:val="00374061"/>
    <w:rsid w:val="00380DD0"/>
    <w:rsid w:val="00382058"/>
    <w:rsid w:val="003B0A2D"/>
    <w:rsid w:val="003C40D6"/>
    <w:rsid w:val="003C5EC7"/>
    <w:rsid w:val="003D51EB"/>
    <w:rsid w:val="003D62CF"/>
    <w:rsid w:val="003D70E9"/>
    <w:rsid w:val="003E18FD"/>
    <w:rsid w:val="003F04E1"/>
    <w:rsid w:val="003F3B24"/>
    <w:rsid w:val="00401238"/>
    <w:rsid w:val="00402DE8"/>
    <w:rsid w:val="004224C2"/>
    <w:rsid w:val="0042430D"/>
    <w:rsid w:val="00442C21"/>
    <w:rsid w:val="0047295D"/>
    <w:rsid w:val="00486B5C"/>
    <w:rsid w:val="004D1FA5"/>
    <w:rsid w:val="004D50F0"/>
    <w:rsid w:val="004E1EE0"/>
    <w:rsid w:val="004E226A"/>
    <w:rsid w:val="00505244"/>
    <w:rsid w:val="00512D66"/>
    <w:rsid w:val="005244C7"/>
    <w:rsid w:val="00532FA5"/>
    <w:rsid w:val="00547F8F"/>
    <w:rsid w:val="00555410"/>
    <w:rsid w:val="00560D37"/>
    <w:rsid w:val="005622FD"/>
    <w:rsid w:val="005C109F"/>
    <w:rsid w:val="005C7016"/>
    <w:rsid w:val="005D7F0B"/>
    <w:rsid w:val="006014AE"/>
    <w:rsid w:val="006126A3"/>
    <w:rsid w:val="006415FF"/>
    <w:rsid w:val="0065782B"/>
    <w:rsid w:val="00673BB7"/>
    <w:rsid w:val="0069178F"/>
    <w:rsid w:val="006966D1"/>
    <w:rsid w:val="00697A4B"/>
    <w:rsid w:val="006A2012"/>
    <w:rsid w:val="006B413A"/>
    <w:rsid w:val="006B70C6"/>
    <w:rsid w:val="006C3EAE"/>
    <w:rsid w:val="006C5998"/>
    <w:rsid w:val="006E167F"/>
    <w:rsid w:val="006E64A2"/>
    <w:rsid w:val="006F2435"/>
    <w:rsid w:val="00703C4C"/>
    <w:rsid w:val="00720D63"/>
    <w:rsid w:val="00746240"/>
    <w:rsid w:val="00785BE1"/>
    <w:rsid w:val="00792FB9"/>
    <w:rsid w:val="007A2FC0"/>
    <w:rsid w:val="007C16E0"/>
    <w:rsid w:val="007C52C8"/>
    <w:rsid w:val="007E680F"/>
    <w:rsid w:val="007E79B8"/>
    <w:rsid w:val="008020A8"/>
    <w:rsid w:val="0080641B"/>
    <w:rsid w:val="00816EF6"/>
    <w:rsid w:val="00817DE6"/>
    <w:rsid w:val="00826FD8"/>
    <w:rsid w:val="008361BD"/>
    <w:rsid w:val="008363F5"/>
    <w:rsid w:val="00844245"/>
    <w:rsid w:val="00865D69"/>
    <w:rsid w:val="00883426"/>
    <w:rsid w:val="00890731"/>
    <w:rsid w:val="008B0562"/>
    <w:rsid w:val="008E0437"/>
    <w:rsid w:val="009034E1"/>
    <w:rsid w:val="00916D3C"/>
    <w:rsid w:val="00920A51"/>
    <w:rsid w:val="009216B1"/>
    <w:rsid w:val="00925DFA"/>
    <w:rsid w:val="00931173"/>
    <w:rsid w:val="00933F86"/>
    <w:rsid w:val="00941819"/>
    <w:rsid w:val="00961901"/>
    <w:rsid w:val="00981466"/>
    <w:rsid w:val="00983B63"/>
    <w:rsid w:val="00984FCF"/>
    <w:rsid w:val="009928AE"/>
    <w:rsid w:val="009A0753"/>
    <w:rsid w:val="009A2D94"/>
    <w:rsid w:val="009D0505"/>
    <w:rsid w:val="009D5B9C"/>
    <w:rsid w:val="009F13F2"/>
    <w:rsid w:val="00A0694A"/>
    <w:rsid w:val="00A13B06"/>
    <w:rsid w:val="00A200B6"/>
    <w:rsid w:val="00A27E05"/>
    <w:rsid w:val="00A46A10"/>
    <w:rsid w:val="00A50E1A"/>
    <w:rsid w:val="00A73048"/>
    <w:rsid w:val="00A92EAE"/>
    <w:rsid w:val="00AB4FD4"/>
    <w:rsid w:val="00AC0E3D"/>
    <w:rsid w:val="00AC6C40"/>
    <w:rsid w:val="00AD60D0"/>
    <w:rsid w:val="00AF38B7"/>
    <w:rsid w:val="00B019AA"/>
    <w:rsid w:val="00B02AD6"/>
    <w:rsid w:val="00B04A2E"/>
    <w:rsid w:val="00B20B1A"/>
    <w:rsid w:val="00B24002"/>
    <w:rsid w:val="00B45996"/>
    <w:rsid w:val="00B9724B"/>
    <w:rsid w:val="00BA4A12"/>
    <w:rsid w:val="00BB56CC"/>
    <w:rsid w:val="00BC6645"/>
    <w:rsid w:val="00BE2679"/>
    <w:rsid w:val="00BE42DF"/>
    <w:rsid w:val="00BE55B1"/>
    <w:rsid w:val="00BF4D99"/>
    <w:rsid w:val="00C07590"/>
    <w:rsid w:val="00C40674"/>
    <w:rsid w:val="00C524C1"/>
    <w:rsid w:val="00C53F37"/>
    <w:rsid w:val="00C63517"/>
    <w:rsid w:val="00C666AA"/>
    <w:rsid w:val="00C77945"/>
    <w:rsid w:val="00C811AF"/>
    <w:rsid w:val="00C906FD"/>
    <w:rsid w:val="00CA2A3C"/>
    <w:rsid w:val="00CA767B"/>
    <w:rsid w:val="00CB05F9"/>
    <w:rsid w:val="00CB76FE"/>
    <w:rsid w:val="00CB78BB"/>
    <w:rsid w:val="00CC786B"/>
    <w:rsid w:val="00D1297D"/>
    <w:rsid w:val="00D15B92"/>
    <w:rsid w:val="00D21353"/>
    <w:rsid w:val="00D27C79"/>
    <w:rsid w:val="00D40077"/>
    <w:rsid w:val="00D543C6"/>
    <w:rsid w:val="00D670FE"/>
    <w:rsid w:val="00D71B2D"/>
    <w:rsid w:val="00D9709D"/>
    <w:rsid w:val="00DA5E60"/>
    <w:rsid w:val="00DA7A66"/>
    <w:rsid w:val="00DB23EF"/>
    <w:rsid w:val="00DC46DB"/>
    <w:rsid w:val="00DD11CD"/>
    <w:rsid w:val="00DD2211"/>
    <w:rsid w:val="00DE2224"/>
    <w:rsid w:val="00DE4484"/>
    <w:rsid w:val="00DF0672"/>
    <w:rsid w:val="00E01583"/>
    <w:rsid w:val="00E31CC0"/>
    <w:rsid w:val="00E356DE"/>
    <w:rsid w:val="00E40485"/>
    <w:rsid w:val="00E56C4E"/>
    <w:rsid w:val="00E67CA4"/>
    <w:rsid w:val="00E712AE"/>
    <w:rsid w:val="00E91C1B"/>
    <w:rsid w:val="00E92951"/>
    <w:rsid w:val="00EB361B"/>
    <w:rsid w:val="00ED213E"/>
    <w:rsid w:val="00F51641"/>
    <w:rsid w:val="00F815F2"/>
    <w:rsid w:val="00F92EBC"/>
    <w:rsid w:val="00FA1F6F"/>
    <w:rsid w:val="00FB7586"/>
    <w:rsid w:val="00FE7C55"/>
    <w:rsid w:val="00FF068B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C6A34"/>
  <w15:docId w15:val="{A98A2EDC-5485-4629-8C7D-A6EB2B6A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23EF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Normln"/>
    <w:link w:val="DatumChar"/>
    <w:uiPriority w:val="3"/>
    <w:qFormat/>
    <w:rsid w:val="00E31CC0"/>
    <w:pPr>
      <w:spacing w:after="120" w:line="240" w:lineRule="auto"/>
      <w:jc w:val="both"/>
    </w:pPr>
    <w:rPr>
      <w:rFonts w:ascii="Cambria" w:eastAsia="Calibri" w:hAnsi="Cambria" w:cs="Times New Roman"/>
      <w:b/>
      <w:spacing w:val="21"/>
    </w:rPr>
  </w:style>
  <w:style w:type="character" w:customStyle="1" w:styleId="DatumChar">
    <w:name w:val="Datum Char"/>
    <w:basedOn w:val="Standardnpsmoodstavce"/>
    <w:link w:val="Datum"/>
    <w:uiPriority w:val="3"/>
    <w:rsid w:val="00E31CC0"/>
    <w:rPr>
      <w:b/>
      <w:color w:val="44546A" w:themeColor="text2"/>
      <w:spacing w:val="21"/>
      <w:sz w:val="22"/>
      <w:szCs w:val="22"/>
      <w:lang w:eastAsia="ja-JP" w:bidi="cs-CZ"/>
    </w:rPr>
  </w:style>
  <w:style w:type="paragraph" w:styleId="Osloven">
    <w:name w:val="Salutation"/>
    <w:basedOn w:val="Normln"/>
    <w:next w:val="Normln"/>
    <w:link w:val="OslovenChar"/>
    <w:uiPriority w:val="5"/>
    <w:qFormat/>
    <w:rsid w:val="00E31CC0"/>
    <w:pPr>
      <w:spacing w:before="800" w:after="120" w:line="276" w:lineRule="auto"/>
      <w:contextualSpacing/>
      <w:jc w:val="both"/>
    </w:pPr>
    <w:rPr>
      <w:rFonts w:ascii="Cambria" w:eastAsia="Calibri" w:hAnsi="Cambria" w:cs="Times New Roman"/>
      <w:b/>
      <w:spacing w:val="21"/>
    </w:rPr>
  </w:style>
  <w:style w:type="character" w:customStyle="1" w:styleId="OslovenChar">
    <w:name w:val="Oslovení Char"/>
    <w:basedOn w:val="Standardnpsmoodstavce"/>
    <w:link w:val="Osloven"/>
    <w:uiPriority w:val="5"/>
    <w:rsid w:val="00E31CC0"/>
    <w:rPr>
      <w:b/>
      <w:color w:val="44546A" w:themeColor="text2"/>
      <w:spacing w:val="21"/>
      <w:sz w:val="22"/>
      <w:szCs w:val="22"/>
      <w:lang w:eastAsia="ja-JP" w:bidi="cs-CZ"/>
    </w:rPr>
  </w:style>
  <w:style w:type="paragraph" w:customStyle="1" w:styleId="Jmno">
    <w:name w:val="Jméno"/>
    <w:basedOn w:val="Normln"/>
    <w:link w:val="JmnoChar"/>
    <w:uiPriority w:val="1"/>
    <w:qFormat/>
    <w:rsid w:val="00E31CC0"/>
    <w:pPr>
      <w:spacing w:after="120" w:line="240" w:lineRule="auto"/>
      <w:contextualSpacing/>
      <w:jc w:val="both"/>
    </w:pPr>
    <w:rPr>
      <w:rFonts w:ascii="Cambria" w:eastAsia="Calibri" w:hAnsi="Cambria" w:cs="Times New Roman"/>
      <w:b/>
      <w:caps/>
      <w:spacing w:val="21"/>
      <w:sz w:val="36"/>
    </w:rPr>
  </w:style>
  <w:style w:type="character" w:customStyle="1" w:styleId="JmnoChar">
    <w:name w:val="Jméno Char"/>
    <w:basedOn w:val="Standardnpsmoodstavce"/>
    <w:link w:val="Jmno"/>
    <w:uiPriority w:val="1"/>
    <w:rsid w:val="00E31CC0"/>
    <w:rPr>
      <w:b/>
      <w:caps/>
      <w:color w:val="44546A" w:themeColor="text2"/>
      <w:spacing w:val="21"/>
      <w:sz w:val="36"/>
      <w:szCs w:val="22"/>
      <w:lang w:eastAsia="ja-JP" w:bidi="cs-CZ"/>
    </w:rPr>
  </w:style>
  <w:style w:type="paragraph" w:customStyle="1" w:styleId="Adresa">
    <w:name w:val="Adresa"/>
    <w:basedOn w:val="Normln"/>
    <w:link w:val="AdresaChar"/>
    <w:uiPriority w:val="4"/>
    <w:qFormat/>
    <w:rsid w:val="00E31CC0"/>
    <w:pPr>
      <w:spacing w:after="120" w:line="240" w:lineRule="auto"/>
      <w:contextualSpacing/>
      <w:jc w:val="both"/>
    </w:pPr>
    <w:rPr>
      <w:rFonts w:ascii="Cambria" w:eastAsia="Calibri" w:hAnsi="Cambria" w:cs="Times New Roman"/>
    </w:rPr>
  </w:style>
  <w:style w:type="character" w:customStyle="1" w:styleId="AdresaChar">
    <w:name w:val="Adresa Char"/>
    <w:basedOn w:val="Standardnpsmoodstavce"/>
    <w:link w:val="Adresa"/>
    <w:uiPriority w:val="4"/>
    <w:rsid w:val="00E31CC0"/>
    <w:rPr>
      <w:color w:val="44546A" w:themeColor="text2"/>
      <w:sz w:val="22"/>
      <w:szCs w:val="22"/>
      <w:lang w:eastAsia="ja-JP" w:bidi="cs-CZ"/>
    </w:rPr>
  </w:style>
  <w:style w:type="paragraph" w:styleId="Zhlav">
    <w:name w:val="header"/>
    <w:basedOn w:val="Normln"/>
    <w:link w:val="ZhlavChar"/>
    <w:uiPriority w:val="99"/>
    <w:unhideWhenUsed/>
    <w:rsid w:val="00E31CC0"/>
    <w:pPr>
      <w:tabs>
        <w:tab w:val="center" w:pos="4536"/>
        <w:tab w:val="right" w:pos="9072"/>
      </w:tabs>
      <w:spacing w:after="0" w:line="240" w:lineRule="auto"/>
      <w:jc w:val="both"/>
    </w:pPr>
    <w:rPr>
      <w:rFonts w:ascii="Cambria" w:eastAsia="Calibri" w:hAnsi="Cambria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E31CC0"/>
    <w:rPr>
      <w:color w:val="44546A" w:themeColor="text2"/>
      <w:sz w:val="22"/>
      <w:szCs w:val="22"/>
      <w:lang w:eastAsia="ja-JP" w:bidi="cs-CZ"/>
    </w:rPr>
  </w:style>
  <w:style w:type="paragraph" w:styleId="Zpat">
    <w:name w:val="footer"/>
    <w:basedOn w:val="Normln"/>
    <w:link w:val="ZpatChar"/>
    <w:uiPriority w:val="99"/>
    <w:unhideWhenUsed/>
    <w:rsid w:val="00E31CC0"/>
    <w:pPr>
      <w:tabs>
        <w:tab w:val="center" w:pos="4536"/>
        <w:tab w:val="right" w:pos="9072"/>
      </w:tabs>
      <w:spacing w:after="0" w:line="240" w:lineRule="auto"/>
      <w:jc w:val="both"/>
    </w:pPr>
    <w:rPr>
      <w:rFonts w:ascii="Cambria" w:eastAsia="Calibri" w:hAnsi="Cambria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E31CC0"/>
    <w:rPr>
      <w:color w:val="44546A" w:themeColor="text2"/>
      <w:sz w:val="22"/>
      <w:szCs w:val="22"/>
      <w:lang w:eastAsia="ja-JP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42DD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DD"/>
    <w:rPr>
      <w:rFonts w:ascii="Tahoma" w:hAnsi="Tahoma" w:cs="Tahoma"/>
      <w:color w:val="44546A" w:themeColor="text2"/>
      <w:sz w:val="16"/>
      <w:szCs w:val="16"/>
      <w:lang w:eastAsia="ja-JP" w:bidi="cs-CZ"/>
    </w:rPr>
  </w:style>
  <w:style w:type="table" w:styleId="Mkatabulky">
    <w:name w:val="Table Grid"/>
    <w:basedOn w:val="Normlntabulka"/>
    <w:uiPriority w:val="39"/>
    <w:unhideWhenUsed/>
    <w:rsid w:val="00A20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B23EF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B23E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B23EF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02546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B05F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25D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5D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5D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5D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5DFA"/>
    <w:rPr>
      <w:b/>
      <w:bCs/>
      <w:sz w:val="20"/>
      <w:szCs w:val="20"/>
    </w:rPr>
  </w:style>
  <w:style w:type="character" w:styleId="Zdraznn">
    <w:name w:val="Emphasis"/>
    <w:basedOn w:val="Standardnpsmoodstavce"/>
    <w:uiPriority w:val="20"/>
    <w:qFormat/>
    <w:rsid w:val="002E45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f.cuni.cz/sites/default/files/uploads/files/LDH2021-1-Tresty-za-nouzoveho-stavu-nedoreseny-problem_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Petra\Desktop\prf.cuni.cz\legal-data-hu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f.cuni.cz/sites/default/files/uploads/files/LDH2021-1-Tresty-za-nouzoveho-stavu-nedoreseny-problem_1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ichavl@prf.cun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CB5DC-D319-48C6-9875-3CFA58704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2852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Karlova v Praze, Právnická Fakulta</Company>
  <LinksUpToDate>false</LinksUpToDate>
  <CharactersWithSpaces>3329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Petra.Sojkova@czcuni.onmicrosoft.com</dc:creator>
  <cp:lastModifiedBy>Petra Sojková Machoňová</cp:lastModifiedBy>
  <cp:revision>2</cp:revision>
  <cp:lastPrinted>2019-10-03T11:50:00Z</cp:lastPrinted>
  <dcterms:created xsi:type="dcterms:W3CDTF">2021-06-14T13:47:00Z</dcterms:created>
  <dcterms:modified xsi:type="dcterms:W3CDTF">2021-06-14T13:47:00Z</dcterms:modified>
</cp:coreProperties>
</file>